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5616" w14:textId="63D9273B" w:rsidR="00191096" w:rsidRPr="00712B02" w:rsidRDefault="00D04E09">
      <w:pPr>
        <w:rPr>
          <w:rFonts w:eastAsia="Times New Roman" w:cstheme="minorHAnsi"/>
          <w:b/>
          <w:bCs/>
          <w:sz w:val="28"/>
          <w:szCs w:val="28"/>
        </w:rPr>
      </w:pPr>
      <w:r w:rsidRPr="00AB0546">
        <w:rPr>
          <w:rFonts w:ascii="Trade Gothic LT Std Cn" w:hAnsi="Trade Gothic LT Std Cn"/>
          <w:b/>
          <w:bCs/>
          <w:color w:val="2F5496" w:themeColor="accent1" w:themeShade="BF"/>
          <w:sz w:val="36"/>
          <w:szCs w:val="36"/>
        </w:rPr>
        <w:t>PERSPECTIV</w:t>
      </w:r>
      <w:r>
        <w:rPr>
          <w:rFonts w:ascii="Trade Gothic LT Std Cn" w:hAnsi="Trade Gothic LT Std Cn"/>
          <w:b/>
          <w:bCs/>
          <w:color w:val="2F5496" w:themeColor="accent1" w:themeShade="BF"/>
          <w:sz w:val="36"/>
          <w:szCs w:val="36"/>
        </w:rPr>
        <w:t xml:space="preserve">E: </w:t>
      </w:r>
      <w:r w:rsidR="00EA7AF6">
        <w:rPr>
          <w:rFonts w:ascii="Trade Gothic LT Std Cn" w:hAnsi="Trade Gothic LT Std Cn"/>
          <w:b/>
          <w:bCs/>
          <w:color w:val="2F5496" w:themeColor="accent1" w:themeShade="BF"/>
          <w:sz w:val="36"/>
          <w:szCs w:val="36"/>
        </w:rPr>
        <w:t>Restricting speech in the name of safety, from panic to pandemic</w:t>
      </w:r>
    </w:p>
    <w:p w14:paraId="7087FD0B" w14:textId="1D9F800A" w:rsidR="0092126D" w:rsidRPr="0092126D" w:rsidRDefault="0092126D" w:rsidP="00562683">
      <w:pPr>
        <w:rPr>
          <w:rFonts w:ascii="Brandon Grotesque Regular" w:eastAsia="Times New Roman" w:hAnsi="Brandon Grotesque Regular" w:cstheme="minorHAnsi"/>
          <w:i/>
          <w:iCs/>
        </w:rPr>
      </w:pPr>
      <w:r w:rsidRPr="00562683">
        <w:rPr>
          <w:rFonts w:ascii="Brandon Grotesque Regular" w:eastAsia="Times New Roman" w:hAnsi="Brandon Grotesque Regular" w:cstheme="minorHAnsi"/>
          <w:i/>
          <w:iCs/>
        </w:rPr>
        <w:t xml:space="preserve">By Kevin Goldberg, Freedom Forum First Amendment Specialist </w:t>
      </w:r>
    </w:p>
    <w:p w14:paraId="7D9F38BD" w14:textId="08D8642E" w:rsidR="00562683" w:rsidRPr="00562683" w:rsidRDefault="00562683" w:rsidP="00562683">
      <w:pPr>
        <w:rPr>
          <w:rFonts w:ascii="Brandon Grotesque Regular" w:eastAsia="Times New Roman" w:hAnsi="Brandon Grotesque Regular" w:cstheme="minorHAnsi"/>
        </w:rPr>
      </w:pPr>
      <w:proofErr w:type="gramStart"/>
      <w:r w:rsidRPr="00562683">
        <w:rPr>
          <w:rFonts w:ascii="Brandon Grotesque Regular" w:eastAsia="Times New Roman" w:hAnsi="Brandon Grotesque Regular" w:cstheme="minorHAnsi"/>
        </w:rPr>
        <w:t>The terrorist attacks of Sept. 11, 2001</w:t>
      </w:r>
      <w:r w:rsidR="00EA7AF6">
        <w:rPr>
          <w:rFonts w:ascii="Brandon Grotesque Regular" w:eastAsia="Times New Roman" w:hAnsi="Brandon Grotesque Regular" w:cstheme="minorHAnsi"/>
        </w:rPr>
        <w:t>,</w:t>
      </w:r>
      <w:proofErr w:type="gramEnd"/>
      <w:r w:rsidRPr="00562683">
        <w:rPr>
          <w:rFonts w:ascii="Brandon Grotesque Regular" w:eastAsia="Times New Roman" w:hAnsi="Brandon Grotesque Regular" w:cstheme="minorHAnsi"/>
        </w:rPr>
        <w:t xml:space="preserve"> occurred on a Tuesday. By the end of that week, we saw the beginnings of restrictions on First Amendment rights that extended for decades, all in the name of national security. As we endure another national crisis in the form of the COVID-19 pandemic, are we seeing a similar crackdown justified by public health and safety? </w:t>
      </w:r>
    </w:p>
    <w:p w14:paraId="6050B294" w14:textId="38C87288" w:rsidR="00562683" w:rsidRPr="00562683" w:rsidRDefault="007141CD" w:rsidP="00562683">
      <w:pPr>
        <w:rPr>
          <w:rFonts w:ascii="Brandon Grotesque Regular" w:eastAsia="Times New Roman" w:hAnsi="Brandon Grotesque Regular" w:cstheme="minorHAnsi"/>
        </w:rPr>
      </w:pPr>
      <w:hyperlink r:id="rId8" w:history="1">
        <w:r w:rsidR="00562683" w:rsidRPr="008F702A">
          <w:rPr>
            <w:rStyle w:val="Hyperlink"/>
            <w:rFonts w:ascii="Brandon Grotesque Regular" w:eastAsia="Times New Roman" w:hAnsi="Brandon Grotesque Regular" w:cstheme="minorHAnsi"/>
          </w:rPr>
          <w:t>The USA PATRIOT Act</w:t>
        </w:r>
      </w:hyperlink>
      <w:r w:rsidR="00562683" w:rsidRPr="00562683">
        <w:rPr>
          <w:rFonts w:ascii="Brandon Grotesque Regular" w:eastAsia="Times New Roman" w:hAnsi="Brandon Grotesque Regular" w:cstheme="minorHAnsi"/>
        </w:rPr>
        <w:t xml:space="preserve"> was an almost immediate federal response to Sept. 11. The 342-page bill was enacted within seven weeks with near-unanimous support. The law amended more than 15 existing federal laws. The law’s most notable impacts on free speech:  </w:t>
      </w:r>
    </w:p>
    <w:p w14:paraId="12DFC4CA" w14:textId="77777777" w:rsidR="00562683" w:rsidRPr="008F702A" w:rsidRDefault="00562683" w:rsidP="008F702A">
      <w:pPr>
        <w:pStyle w:val="ListParagraph"/>
        <w:numPr>
          <w:ilvl w:val="0"/>
          <w:numId w:val="3"/>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Expanded FBI powers to access library records, web history and bookstore purchase records of foreign agents suspected of </w:t>
      </w:r>
      <w:proofErr w:type="gramStart"/>
      <w:r w:rsidRPr="008F702A">
        <w:rPr>
          <w:rFonts w:ascii="Brandon Grotesque Regular" w:eastAsia="Times New Roman" w:hAnsi="Brandon Grotesque Regular" w:cstheme="minorHAnsi"/>
        </w:rPr>
        <w:t>spying;</w:t>
      </w:r>
      <w:proofErr w:type="gramEnd"/>
      <w:r w:rsidRPr="008F702A">
        <w:rPr>
          <w:rFonts w:ascii="Brandon Grotesque Regular" w:eastAsia="Times New Roman" w:hAnsi="Brandon Grotesque Regular" w:cstheme="minorHAnsi"/>
        </w:rPr>
        <w:t xml:space="preserve">  </w:t>
      </w:r>
    </w:p>
    <w:p w14:paraId="2D8D37E0" w14:textId="77777777" w:rsidR="00562683" w:rsidRPr="008F702A" w:rsidRDefault="00562683" w:rsidP="008F702A">
      <w:pPr>
        <w:pStyle w:val="ListParagraph"/>
        <w:numPr>
          <w:ilvl w:val="0"/>
          <w:numId w:val="3"/>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Prohibited the recipient of a subpoena from disclosing the subpoena’s existence to </w:t>
      </w:r>
      <w:proofErr w:type="gramStart"/>
      <w:r w:rsidRPr="008F702A">
        <w:rPr>
          <w:rFonts w:ascii="Brandon Grotesque Regular" w:eastAsia="Times New Roman" w:hAnsi="Brandon Grotesque Regular" w:cstheme="minorHAnsi"/>
        </w:rPr>
        <w:t>anyone;</w:t>
      </w:r>
      <w:proofErr w:type="gramEnd"/>
      <w:r w:rsidRPr="008F702A">
        <w:rPr>
          <w:rFonts w:ascii="Brandon Grotesque Regular" w:eastAsia="Times New Roman" w:hAnsi="Brandon Grotesque Regular" w:cstheme="minorHAnsi"/>
        </w:rPr>
        <w:t xml:space="preserve">  </w:t>
      </w:r>
    </w:p>
    <w:p w14:paraId="1DA55296" w14:textId="77777777" w:rsidR="00562683" w:rsidRPr="008F702A" w:rsidRDefault="00562683" w:rsidP="008F702A">
      <w:pPr>
        <w:pStyle w:val="ListParagraph"/>
        <w:numPr>
          <w:ilvl w:val="0"/>
          <w:numId w:val="3"/>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Allowed the secretary of state to designate foreign or domestic groups as terrorist organizations, even if those groups had never engaged in violent </w:t>
      </w:r>
      <w:proofErr w:type="gramStart"/>
      <w:r w:rsidRPr="008F702A">
        <w:rPr>
          <w:rFonts w:ascii="Brandon Grotesque Regular" w:eastAsia="Times New Roman" w:hAnsi="Brandon Grotesque Regular" w:cstheme="minorHAnsi"/>
        </w:rPr>
        <w:t>conduct;</w:t>
      </w:r>
      <w:proofErr w:type="gramEnd"/>
      <w:r w:rsidRPr="008F702A">
        <w:rPr>
          <w:rFonts w:ascii="Brandon Grotesque Regular" w:eastAsia="Times New Roman" w:hAnsi="Brandon Grotesque Regular" w:cstheme="minorHAnsi"/>
        </w:rPr>
        <w:t xml:space="preserve">  </w:t>
      </w:r>
    </w:p>
    <w:p w14:paraId="6A5DFF89" w14:textId="77777777" w:rsidR="00562683" w:rsidRPr="008F702A" w:rsidRDefault="00562683" w:rsidP="008F702A">
      <w:pPr>
        <w:pStyle w:val="ListParagraph"/>
        <w:numPr>
          <w:ilvl w:val="0"/>
          <w:numId w:val="3"/>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Enabled deportation of any non-citizen who assisted these groups, even in limited ways unconnected to or without knowledge of the group’s suspected terrorist activities.  </w:t>
      </w:r>
    </w:p>
    <w:p w14:paraId="332109B4"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A New York law, enacted within one week of Sept. 11 and described by the legislature as the “toughest anti-terrorism legislation in the country,” similarly created a new crime for “soliciting support for terrorism,” defining terrorism vaguely as “intimidation or coercion of civilians or units of government.”  </w:t>
      </w:r>
    </w:p>
    <w:p w14:paraId="157E1D8D" w14:textId="48970BC8" w:rsidR="00562683" w:rsidRPr="008F702A" w:rsidRDefault="008F702A" w:rsidP="00562683">
      <w:pPr>
        <w:rPr>
          <w:rFonts w:ascii="Trade Gothic LT Std Cn" w:eastAsia="Times New Roman" w:hAnsi="Trade Gothic LT Std Cn" w:cstheme="minorHAnsi"/>
          <w:b/>
          <w:bCs/>
          <w:sz w:val="24"/>
          <w:szCs w:val="24"/>
        </w:rPr>
      </w:pPr>
      <w:r w:rsidRPr="008F702A">
        <w:rPr>
          <w:rFonts w:ascii="Trade Gothic LT Std Cn" w:eastAsia="Times New Roman" w:hAnsi="Trade Gothic LT Std Cn" w:cstheme="minorHAnsi"/>
          <w:b/>
          <w:bCs/>
          <w:sz w:val="24"/>
          <w:szCs w:val="24"/>
        </w:rPr>
        <w:t xml:space="preserve">MANY POST-SEPT. 11 RESTRICTIONS WENT TOO FAR </w:t>
      </w:r>
    </w:p>
    <w:p w14:paraId="224077ED"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These broad legislative efforts were precursors for more targeted efforts affecting the rights to speak, assemble and petition:  </w:t>
      </w:r>
    </w:p>
    <w:p w14:paraId="1E458070" w14:textId="77777777" w:rsidR="00562683" w:rsidRPr="008F702A" w:rsidRDefault="00562683" w:rsidP="008F702A">
      <w:pPr>
        <w:pStyle w:val="ListParagraph"/>
        <w:numPr>
          <w:ilvl w:val="0"/>
          <w:numId w:val="4"/>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The Secret Service created “free speech zones,” requiring antiwar protesters to remain in designated areas, often far from the intended recipients of their </w:t>
      </w:r>
      <w:proofErr w:type="gramStart"/>
      <w:r w:rsidRPr="008F702A">
        <w:rPr>
          <w:rFonts w:ascii="Brandon Grotesque Regular" w:eastAsia="Times New Roman" w:hAnsi="Brandon Grotesque Regular" w:cstheme="minorHAnsi"/>
        </w:rPr>
        <w:t>message;</w:t>
      </w:r>
      <w:proofErr w:type="gramEnd"/>
      <w:r w:rsidRPr="008F702A">
        <w:rPr>
          <w:rFonts w:ascii="Brandon Grotesque Regular" w:eastAsia="Times New Roman" w:hAnsi="Brandon Grotesque Regular" w:cstheme="minorHAnsi"/>
        </w:rPr>
        <w:t xml:space="preserve">  </w:t>
      </w:r>
    </w:p>
    <w:p w14:paraId="6B5D0B26" w14:textId="77777777" w:rsidR="00562683" w:rsidRPr="008F702A" w:rsidRDefault="00562683" w:rsidP="008F702A">
      <w:pPr>
        <w:pStyle w:val="ListParagraph"/>
        <w:numPr>
          <w:ilvl w:val="0"/>
          <w:numId w:val="4"/>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 xml:space="preserve">Organizers of a peace demonstration in New York City were denied a permit due to a city-wide ban on demonstrations, though a parade went forward the next </w:t>
      </w:r>
      <w:proofErr w:type="gramStart"/>
      <w:r w:rsidRPr="008F702A">
        <w:rPr>
          <w:rFonts w:ascii="Brandon Grotesque Regular" w:eastAsia="Times New Roman" w:hAnsi="Brandon Grotesque Regular" w:cstheme="minorHAnsi"/>
        </w:rPr>
        <w:t>day;</w:t>
      </w:r>
      <w:proofErr w:type="gramEnd"/>
      <w:r w:rsidRPr="008F702A">
        <w:rPr>
          <w:rFonts w:ascii="Brandon Grotesque Regular" w:eastAsia="Times New Roman" w:hAnsi="Brandon Grotesque Regular" w:cstheme="minorHAnsi"/>
        </w:rPr>
        <w:t xml:space="preserve">  </w:t>
      </w:r>
    </w:p>
    <w:p w14:paraId="6B818F10" w14:textId="694F0580" w:rsidR="00562683" w:rsidRPr="008F702A" w:rsidRDefault="00562683" w:rsidP="008F702A">
      <w:pPr>
        <w:pStyle w:val="ListParagraph"/>
        <w:numPr>
          <w:ilvl w:val="0"/>
          <w:numId w:val="4"/>
        </w:numPr>
        <w:rPr>
          <w:rFonts w:ascii="Brandon Grotesque Regular" w:eastAsia="Times New Roman" w:hAnsi="Brandon Grotesque Regular" w:cstheme="minorHAnsi"/>
        </w:rPr>
      </w:pPr>
      <w:r w:rsidRPr="008F702A">
        <w:rPr>
          <w:rFonts w:ascii="Brandon Grotesque Regular" w:eastAsia="Times New Roman" w:hAnsi="Brandon Grotesque Regular" w:cstheme="minorHAnsi"/>
        </w:rPr>
        <w:t>Columbus, G</w:t>
      </w:r>
      <w:r w:rsidR="007141CD">
        <w:rPr>
          <w:rFonts w:ascii="Brandon Grotesque Regular" w:eastAsia="Times New Roman" w:hAnsi="Brandon Grotesque Regular" w:cstheme="minorHAnsi"/>
        </w:rPr>
        <w:t>eorgia</w:t>
      </w:r>
      <w:r w:rsidRPr="008F702A">
        <w:rPr>
          <w:rFonts w:ascii="Brandon Grotesque Regular" w:eastAsia="Times New Roman" w:hAnsi="Brandon Grotesque Regular" w:cstheme="minorHAnsi"/>
        </w:rPr>
        <w:t xml:space="preserve">, sought to shut down an annual peaceful protest outside Fort Benning based on generalized national security concerns, until a U.S. magistrate judge rejected the city’s request.  </w:t>
      </w:r>
    </w:p>
    <w:p w14:paraId="645A4622"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The scope and breadth of these restrictions on civil liberties went beyond the changes most people agreed were necessary to protect national security, primarily because they were content-based — targeting speech based on the message conveyed. Content-based restrictions on speech are only constitutional if they survive “strict scrutiny review” because they further a “compelling” government interest in a narrowly tailored manner, going no further than necessary to achieve that goal.  </w:t>
      </w:r>
    </w:p>
    <w:p w14:paraId="764160C9"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While legitimate protection of national security is a compelling interest, many government responses to Sept. 11 were criticized for either using national security as a guise for already-desired restrictions on </w:t>
      </w:r>
      <w:r w:rsidRPr="00562683">
        <w:rPr>
          <w:rFonts w:ascii="Brandon Grotesque Regular" w:eastAsia="Times New Roman" w:hAnsi="Brandon Grotesque Regular" w:cstheme="minorHAnsi"/>
        </w:rPr>
        <w:lastRenderedPageBreak/>
        <w:t xml:space="preserve">civil liberties or for failing the second part of this test due to their vagueness or overbreadth. Some even committed the cardinal sin of First Amendment violations — engaging in “viewpoint discrimination,” in which the restriction censors one side but not the other (for instance, by censoring anti-war speech or other dissent, but allowing displays of patriotic affection).  </w:t>
      </w:r>
    </w:p>
    <w:p w14:paraId="452B0870"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Though some were successfully challenged in court, others like the Secret Service’s free speech zones, were upheld. Some were never challenged. The USA PATRIOT Act was supposed to sunset after four </w:t>
      </w:r>
      <w:proofErr w:type="gramStart"/>
      <w:r w:rsidRPr="00562683">
        <w:rPr>
          <w:rFonts w:ascii="Brandon Grotesque Regular" w:eastAsia="Times New Roman" w:hAnsi="Brandon Grotesque Regular" w:cstheme="minorHAnsi"/>
        </w:rPr>
        <w:t>years, but</w:t>
      </w:r>
      <w:proofErr w:type="gramEnd"/>
      <w:r w:rsidRPr="00562683">
        <w:rPr>
          <w:rFonts w:ascii="Brandon Grotesque Regular" w:eastAsia="Times New Roman" w:hAnsi="Brandon Grotesque Regular" w:cstheme="minorHAnsi"/>
        </w:rPr>
        <w:t xml:space="preserve"> was routinely reauthorized until the bill finally expired in 2020.  </w:t>
      </w:r>
    </w:p>
    <w:p w14:paraId="1EEF8FA0" w14:textId="4DE09223" w:rsidR="00562683" w:rsidRPr="008F702A" w:rsidRDefault="008F702A" w:rsidP="00562683">
      <w:pPr>
        <w:rPr>
          <w:rFonts w:ascii="Trade Gothic LT Std Cn" w:eastAsia="Times New Roman" w:hAnsi="Trade Gothic LT Std Cn" w:cstheme="minorHAnsi"/>
          <w:b/>
          <w:bCs/>
          <w:sz w:val="24"/>
          <w:szCs w:val="24"/>
        </w:rPr>
      </w:pPr>
      <w:r w:rsidRPr="008F702A">
        <w:rPr>
          <w:rFonts w:ascii="Trade Gothic LT Std Cn" w:eastAsia="Times New Roman" w:hAnsi="Trade Gothic LT Std Cn" w:cstheme="minorHAnsi"/>
          <w:b/>
          <w:bCs/>
          <w:sz w:val="24"/>
          <w:szCs w:val="24"/>
        </w:rPr>
        <w:t xml:space="preserve">PANDEMIC REPLACES PANIC AS THREAT TO PEOPLE AND FREEDOMS </w:t>
      </w:r>
    </w:p>
    <w:p w14:paraId="6765A5EB"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2020 was a year that will largely be defined by two things: the COVID-19 pandemic and worldwide protests in the wake of the murder of </w:t>
      </w:r>
      <w:r w:rsidRPr="0012241B">
        <w:rPr>
          <w:rFonts w:ascii="Brandon Grotesque Regular" w:eastAsia="Times New Roman" w:hAnsi="Brandon Grotesque Regular" w:cstheme="minorHAnsi"/>
          <w:b/>
          <w:bCs/>
        </w:rPr>
        <w:t>George Floyd</w:t>
      </w:r>
      <w:r w:rsidRPr="00562683">
        <w:rPr>
          <w:rFonts w:ascii="Brandon Grotesque Regular" w:eastAsia="Times New Roman" w:hAnsi="Brandon Grotesque Regular" w:cstheme="minorHAnsi"/>
        </w:rPr>
        <w:t xml:space="preserve">, with the former predictably being used as justification to restrict the latter.  </w:t>
      </w:r>
    </w:p>
    <w:p w14:paraId="419B1C6F"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In February 2021, Human Rights Watch reported that 83 countries worldwide, including the United States, used the COVID-19 pandemic to justify restrictions on free speech and peaceful assembly. California Gov. </w:t>
      </w:r>
      <w:r w:rsidRPr="0012241B">
        <w:rPr>
          <w:rFonts w:ascii="Brandon Grotesque Regular" w:eastAsia="Times New Roman" w:hAnsi="Brandon Grotesque Regular" w:cstheme="minorHAnsi"/>
          <w:b/>
          <w:bCs/>
        </w:rPr>
        <w:t>Gavin Newsom</w:t>
      </w:r>
      <w:r w:rsidRPr="00562683">
        <w:rPr>
          <w:rFonts w:ascii="Brandon Grotesque Regular" w:eastAsia="Times New Roman" w:hAnsi="Brandon Grotesque Regular" w:cstheme="minorHAnsi"/>
        </w:rPr>
        <w:t xml:space="preserve"> issued an executive order requiring “all individuals living in the state of California to stay at home or at their place of residence” subject to certain exceptions, none of which included First Amendment activities. In other words, all gatherings of any size protesting government action were banned. Similarly, the police department of Raleigh, N.C., broke up an April 2020 protest under the justification that “protesting is a non-essential activity.”  </w:t>
      </w:r>
    </w:p>
    <w:p w14:paraId="769EB606"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There is reason for concern despite the relatively more limited use of COVID-19 as a justification for restricting speech. Whereas post-Sept. 11 restrictions were subject to the strict scrutiny standard of review, attempts to restrict public protest based on protecting public health during a pandemic might be much easier to justify.  </w:t>
      </w:r>
    </w:p>
    <w:p w14:paraId="41B9ED01" w14:textId="4F3AB1CE" w:rsidR="00562683" w:rsidRPr="008F702A" w:rsidRDefault="008F702A" w:rsidP="00562683">
      <w:pPr>
        <w:rPr>
          <w:rFonts w:ascii="Trade Gothic LT Std Cn" w:eastAsia="Times New Roman" w:hAnsi="Trade Gothic LT Std Cn" w:cstheme="minorHAnsi"/>
          <w:b/>
          <w:bCs/>
          <w:sz w:val="24"/>
          <w:szCs w:val="24"/>
        </w:rPr>
      </w:pPr>
      <w:r w:rsidRPr="008F702A">
        <w:rPr>
          <w:rFonts w:ascii="Trade Gothic LT Std Cn" w:eastAsia="Times New Roman" w:hAnsi="Trade Gothic LT Std Cn" w:cstheme="minorHAnsi"/>
          <w:b/>
          <w:bCs/>
          <w:sz w:val="24"/>
          <w:szCs w:val="24"/>
        </w:rPr>
        <w:t xml:space="preserve">MORE COVID-19 RESTRICTIONS LIKELY TO STAND </w:t>
      </w:r>
    </w:p>
    <w:p w14:paraId="14C61DB3"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These restrictions are more “content-neutral” because they do not seek to regulate any </w:t>
      </w:r>
      <w:proofErr w:type="gramStart"/>
      <w:r w:rsidRPr="00562683">
        <w:rPr>
          <w:rFonts w:ascii="Brandon Grotesque Regular" w:eastAsia="Times New Roman" w:hAnsi="Brandon Grotesque Regular" w:cstheme="minorHAnsi"/>
        </w:rPr>
        <w:t>particular message</w:t>
      </w:r>
      <w:proofErr w:type="gramEnd"/>
      <w:r w:rsidRPr="00562683">
        <w:rPr>
          <w:rFonts w:ascii="Brandon Grotesque Regular" w:eastAsia="Times New Roman" w:hAnsi="Brandon Grotesque Regular" w:cstheme="minorHAnsi"/>
        </w:rPr>
        <w:t xml:space="preserve">. They would therefore be subject to the less strict “intermediate scrutiny” standard of review, satisfied if the restriction furthers an important or substantial (as opposed to compelling) interest and is no greater than necessary to further the interest (as opposed to being the least restrictive method of furthering the interest).  </w:t>
      </w:r>
    </w:p>
    <w:p w14:paraId="0F6E29CE" w14:textId="77777777" w:rsidR="00562683" w:rsidRPr="00562683"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A restriction that is designed to prevent the spread of COVID-19 (for instance, by restricting the number of participants or requiring social distancing) and applied to all speakers equally, regardless of message, is likely to be upheld. For example, the U.S. Supreme Court said New York state could not restrict the number of individuals attending religious services in areas with high virus spread while allowing unrestricted patronage of other businesses in those same zones. The court similarly struck down restrictions in California that, in the words of Justice </w:t>
      </w:r>
      <w:r w:rsidRPr="0012241B">
        <w:rPr>
          <w:rFonts w:ascii="Brandon Grotesque Regular" w:eastAsia="Times New Roman" w:hAnsi="Brandon Grotesque Regular" w:cstheme="minorHAnsi"/>
          <w:b/>
          <w:bCs/>
        </w:rPr>
        <w:t>Neil Gorsuch</w:t>
      </w:r>
      <w:r w:rsidRPr="00562683">
        <w:rPr>
          <w:rFonts w:ascii="Brandon Grotesque Regular" w:eastAsia="Times New Roman" w:hAnsi="Brandon Grotesque Regular" w:cstheme="minorHAnsi"/>
        </w:rPr>
        <w:t xml:space="preserve">, “openly impose more stringent regulation on religious institutions than many businesses.”  </w:t>
      </w:r>
    </w:p>
    <w:p w14:paraId="79DD82F5" w14:textId="2285FA19" w:rsidR="00B43C11" w:rsidRPr="0092126D" w:rsidRDefault="00562683" w:rsidP="00562683">
      <w:pPr>
        <w:rPr>
          <w:rFonts w:ascii="Brandon Grotesque Regular" w:eastAsia="Times New Roman" w:hAnsi="Brandon Grotesque Regular" w:cstheme="minorHAnsi"/>
        </w:rPr>
      </w:pPr>
      <w:r w:rsidRPr="00562683">
        <w:rPr>
          <w:rFonts w:ascii="Brandon Grotesque Regular" w:eastAsia="Times New Roman" w:hAnsi="Brandon Grotesque Regular" w:cstheme="minorHAnsi"/>
        </w:rPr>
        <w:t xml:space="preserve">Former Supreme Court </w:t>
      </w:r>
      <w:r w:rsidRPr="0012241B">
        <w:rPr>
          <w:rFonts w:ascii="Brandon Grotesque Regular" w:eastAsia="Times New Roman" w:hAnsi="Brandon Grotesque Regular" w:cstheme="minorHAnsi"/>
          <w:b/>
          <w:bCs/>
        </w:rPr>
        <w:t>Justice William O. Douglas</w:t>
      </w:r>
      <w:r w:rsidRPr="00562683">
        <w:rPr>
          <w:rFonts w:ascii="Brandon Grotesque Regular" w:eastAsia="Times New Roman" w:hAnsi="Brandon Grotesque Regular" w:cstheme="minorHAnsi"/>
        </w:rPr>
        <w:t xml:space="preserve"> once warned of a “twilight” phenomenon by which incremental deprivations of rights become permanent, especially when they exist long enough to become “normal” for a new generation. It has been 20 years since Sept. 11. An entire generation has grown up and, in some instances, taken positions of power. So far, it appears they are using that power </w:t>
      </w:r>
      <w:r w:rsidRPr="00562683">
        <w:rPr>
          <w:rFonts w:ascii="Brandon Grotesque Regular" w:eastAsia="Times New Roman" w:hAnsi="Brandon Grotesque Regular" w:cstheme="minorHAnsi"/>
        </w:rPr>
        <w:lastRenderedPageBreak/>
        <w:t xml:space="preserve">when it comes to protesting in the time of COVID-19 in a limited fashion to legitimately protect public health and safety. But we have every reason to remain vigilant.  </w:t>
      </w:r>
    </w:p>
    <w:sectPr w:rsidR="00B43C11" w:rsidRPr="0092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FE3"/>
    <w:multiLevelType w:val="hybridMultilevel"/>
    <w:tmpl w:val="6D8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20F78"/>
    <w:multiLevelType w:val="hybridMultilevel"/>
    <w:tmpl w:val="3E3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611E0"/>
    <w:multiLevelType w:val="hybridMultilevel"/>
    <w:tmpl w:val="B79C79FC"/>
    <w:lvl w:ilvl="0" w:tplc="AED806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D03B2"/>
    <w:multiLevelType w:val="hybridMultilevel"/>
    <w:tmpl w:val="F5D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72"/>
    <w:rsid w:val="00016519"/>
    <w:rsid w:val="000354C7"/>
    <w:rsid w:val="00054930"/>
    <w:rsid w:val="000767C7"/>
    <w:rsid w:val="000B4C1E"/>
    <w:rsid w:val="000D29FE"/>
    <w:rsid w:val="000D2E6B"/>
    <w:rsid w:val="000D4EDF"/>
    <w:rsid w:val="00113437"/>
    <w:rsid w:val="0012241B"/>
    <w:rsid w:val="001331ED"/>
    <w:rsid w:val="00152638"/>
    <w:rsid w:val="00191096"/>
    <w:rsid w:val="001B17E2"/>
    <w:rsid w:val="001B3673"/>
    <w:rsid w:val="002030CA"/>
    <w:rsid w:val="0020713C"/>
    <w:rsid w:val="002162BC"/>
    <w:rsid w:val="00234A03"/>
    <w:rsid w:val="0024082D"/>
    <w:rsid w:val="0025153E"/>
    <w:rsid w:val="00271A6A"/>
    <w:rsid w:val="00273EB6"/>
    <w:rsid w:val="00281C9D"/>
    <w:rsid w:val="00282BCB"/>
    <w:rsid w:val="00294150"/>
    <w:rsid w:val="002A1CB3"/>
    <w:rsid w:val="002A3B66"/>
    <w:rsid w:val="002A47DF"/>
    <w:rsid w:val="002A6128"/>
    <w:rsid w:val="002B09FF"/>
    <w:rsid w:val="002B7731"/>
    <w:rsid w:val="002C6036"/>
    <w:rsid w:val="002E25A0"/>
    <w:rsid w:val="002F4A33"/>
    <w:rsid w:val="00300D41"/>
    <w:rsid w:val="003072B2"/>
    <w:rsid w:val="0031234D"/>
    <w:rsid w:val="00313BE6"/>
    <w:rsid w:val="00336471"/>
    <w:rsid w:val="00336E75"/>
    <w:rsid w:val="0036085D"/>
    <w:rsid w:val="0036522A"/>
    <w:rsid w:val="00372C31"/>
    <w:rsid w:val="00372EC2"/>
    <w:rsid w:val="00373548"/>
    <w:rsid w:val="003A50DD"/>
    <w:rsid w:val="003C1475"/>
    <w:rsid w:val="003D2F93"/>
    <w:rsid w:val="003D3896"/>
    <w:rsid w:val="003E0FA0"/>
    <w:rsid w:val="003E2BCA"/>
    <w:rsid w:val="00410574"/>
    <w:rsid w:val="00415C4B"/>
    <w:rsid w:val="004162A1"/>
    <w:rsid w:val="00416F23"/>
    <w:rsid w:val="004709DD"/>
    <w:rsid w:val="00487C0D"/>
    <w:rsid w:val="004A0C32"/>
    <w:rsid w:val="004B4AB6"/>
    <w:rsid w:val="004C0412"/>
    <w:rsid w:val="004C3A87"/>
    <w:rsid w:val="004C5B6E"/>
    <w:rsid w:val="004E015F"/>
    <w:rsid w:val="004E1541"/>
    <w:rsid w:val="004F0DA3"/>
    <w:rsid w:val="004F0FC8"/>
    <w:rsid w:val="004F17FF"/>
    <w:rsid w:val="004F3B0D"/>
    <w:rsid w:val="00516211"/>
    <w:rsid w:val="00521262"/>
    <w:rsid w:val="00562683"/>
    <w:rsid w:val="005944EE"/>
    <w:rsid w:val="00597C6D"/>
    <w:rsid w:val="005A06F2"/>
    <w:rsid w:val="005C0C5B"/>
    <w:rsid w:val="005E40FD"/>
    <w:rsid w:val="005F2D32"/>
    <w:rsid w:val="005F4C35"/>
    <w:rsid w:val="005F5952"/>
    <w:rsid w:val="00601FFE"/>
    <w:rsid w:val="0060253A"/>
    <w:rsid w:val="00602EAD"/>
    <w:rsid w:val="00622A90"/>
    <w:rsid w:val="00640AFA"/>
    <w:rsid w:val="00642172"/>
    <w:rsid w:val="006643CB"/>
    <w:rsid w:val="00665872"/>
    <w:rsid w:val="0068533C"/>
    <w:rsid w:val="006922A0"/>
    <w:rsid w:val="006B7B3D"/>
    <w:rsid w:val="006C0339"/>
    <w:rsid w:val="006C7AEB"/>
    <w:rsid w:val="006F2FEF"/>
    <w:rsid w:val="00712B02"/>
    <w:rsid w:val="007141CD"/>
    <w:rsid w:val="00730B04"/>
    <w:rsid w:val="00732031"/>
    <w:rsid w:val="00734CB7"/>
    <w:rsid w:val="007366D8"/>
    <w:rsid w:val="00775C43"/>
    <w:rsid w:val="00783319"/>
    <w:rsid w:val="00795617"/>
    <w:rsid w:val="007A006F"/>
    <w:rsid w:val="007B0A43"/>
    <w:rsid w:val="007C3CD4"/>
    <w:rsid w:val="007F310A"/>
    <w:rsid w:val="00807C79"/>
    <w:rsid w:val="00811806"/>
    <w:rsid w:val="00827F02"/>
    <w:rsid w:val="00855544"/>
    <w:rsid w:val="0086147A"/>
    <w:rsid w:val="008632FA"/>
    <w:rsid w:val="008709CB"/>
    <w:rsid w:val="00882299"/>
    <w:rsid w:val="008A56F2"/>
    <w:rsid w:val="008C0F32"/>
    <w:rsid w:val="008D6E27"/>
    <w:rsid w:val="008F702A"/>
    <w:rsid w:val="0092126D"/>
    <w:rsid w:val="00931C4D"/>
    <w:rsid w:val="0093762B"/>
    <w:rsid w:val="00945639"/>
    <w:rsid w:val="00947A6D"/>
    <w:rsid w:val="00956419"/>
    <w:rsid w:val="00964F36"/>
    <w:rsid w:val="00971690"/>
    <w:rsid w:val="009828B8"/>
    <w:rsid w:val="00985690"/>
    <w:rsid w:val="00990B0D"/>
    <w:rsid w:val="00A20EA9"/>
    <w:rsid w:val="00A26554"/>
    <w:rsid w:val="00A62F70"/>
    <w:rsid w:val="00A64BF5"/>
    <w:rsid w:val="00A65922"/>
    <w:rsid w:val="00AC4EFB"/>
    <w:rsid w:val="00AE0C35"/>
    <w:rsid w:val="00B01E87"/>
    <w:rsid w:val="00B43C11"/>
    <w:rsid w:val="00B50706"/>
    <w:rsid w:val="00B719CD"/>
    <w:rsid w:val="00BB5013"/>
    <w:rsid w:val="00BB5FB5"/>
    <w:rsid w:val="00BD21A6"/>
    <w:rsid w:val="00BF1878"/>
    <w:rsid w:val="00BF730B"/>
    <w:rsid w:val="00C05F56"/>
    <w:rsid w:val="00C129FE"/>
    <w:rsid w:val="00C1307B"/>
    <w:rsid w:val="00C2357D"/>
    <w:rsid w:val="00C40B7E"/>
    <w:rsid w:val="00C454D0"/>
    <w:rsid w:val="00C45673"/>
    <w:rsid w:val="00C54555"/>
    <w:rsid w:val="00C65BAC"/>
    <w:rsid w:val="00C701C1"/>
    <w:rsid w:val="00CC6DD6"/>
    <w:rsid w:val="00D04E09"/>
    <w:rsid w:val="00D25D75"/>
    <w:rsid w:val="00D33101"/>
    <w:rsid w:val="00D453E0"/>
    <w:rsid w:val="00D478D7"/>
    <w:rsid w:val="00D57C6C"/>
    <w:rsid w:val="00D66057"/>
    <w:rsid w:val="00D73529"/>
    <w:rsid w:val="00D85F31"/>
    <w:rsid w:val="00DA4527"/>
    <w:rsid w:val="00DA5C3A"/>
    <w:rsid w:val="00DB213E"/>
    <w:rsid w:val="00DE57C6"/>
    <w:rsid w:val="00E01077"/>
    <w:rsid w:val="00E04067"/>
    <w:rsid w:val="00E178CC"/>
    <w:rsid w:val="00E24B86"/>
    <w:rsid w:val="00E303B5"/>
    <w:rsid w:val="00E340AD"/>
    <w:rsid w:val="00E47833"/>
    <w:rsid w:val="00E50019"/>
    <w:rsid w:val="00E507FB"/>
    <w:rsid w:val="00E636BD"/>
    <w:rsid w:val="00E774ED"/>
    <w:rsid w:val="00E80A74"/>
    <w:rsid w:val="00E87035"/>
    <w:rsid w:val="00E96AE0"/>
    <w:rsid w:val="00E97FC3"/>
    <w:rsid w:val="00EA7AF6"/>
    <w:rsid w:val="00EB4E5A"/>
    <w:rsid w:val="00EC2E69"/>
    <w:rsid w:val="00EF24B9"/>
    <w:rsid w:val="00F07905"/>
    <w:rsid w:val="00F20B2B"/>
    <w:rsid w:val="00F3005A"/>
    <w:rsid w:val="00F40C50"/>
    <w:rsid w:val="00F4683B"/>
    <w:rsid w:val="00F572EB"/>
    <w:rsid w:val="00F63F03"/>
    <w:rsid w:val="00F94754"/>
    <w:rsid w:val="00F94BC1"/>
    <w:rsid w:val="00FB28C9"/>
    <w:rsid w:val="00FC4732"/>
    <w:rsid w:val="00FC58AF"/>
    <w:rsid w:val="00FD697D"/>
    <w:rsid w:val="00FE4160"/>
    <w:rsid w:val="07D19B0A"/>
    <w:rsid w:val="29B08F0A"/>
    <w:rsid w:val="3572D7E0"/>
    <w:rsid w:val="392BAFAC"/>
    <w:rsid w:val="3F696675"/>
    <w:rsid w:val="42B96995"/>
    <w:rsid w:val="4A0BDF2A"/>
    <w:rsid w:val="4E506B3C"/>
    <w:rsid w:val="54B7B2F7"/>
    <w:rsid w:val="5B35FC09"/>
    <w:rsid w:val="6094C4A8"/>
    <w:rsid w:val="6CDDE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4098"/>
  <w15:chartTrackingRefBased/>
  <w15:docId w15:val="{8C4FDB8C-2885-4647-9558-73459CD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72"/>
    <w:rPr>
      <w:color w:val="0000FF"/>
      <w:u w:val="single"/>
    </w:rPr>
  </w:style>
  <w:style w:type="character" w:styleId="Strong">
    <w:name w:val="Strong"/>
    <w:basedOn w:val="DefaultParagraphFont"/>
    <w:uiPriority w:val="22"/>
    <w:qFormat/>
    <w:rsid w:val="00665872"/>
    <w:rPr>
      <w:b/>
      <w:bCs/>
    </w:rPr>
  </w:style>
  <w:style w:type="paragraph" w:styleId="ListParagraph">
    <w:name w:val="List Paragraph"/>
    <w:basedOn w:val="Normal"/>
    <w:uiPriority w:val="34"/>
    <w:qFormat/>
    <w:rsid w:val="00795617"/>
    <w:pPr>
      <w:ind w:left="720"/>
      <w:contextualSpacing/>
    </w:pPr>
  </w:style>
  <w:style w:type="character" w:styleId="FollowedHyperlink">
    <w:name w:val="FollowedHyperlink"/>
    <w:basedOn w:val="DefaultParagraphFont"/>
    <w:uiPriority w:val="99"/>
    <w:semiHidden/>
    <w:unhideWhenUsed/>
    <w:rsid w:val="00C2357D"/>
    <w:rPr>
      <w:color w:val="954F72" w:themeColor="followedHyperlink"/>
      <w:u w:val="single"/>
    </w:rPr>
  </w:style>
  <w:style w:type="character" w:styleId="CommentReference">
    <w:name w:val="annotation reference"/>
    <w:basedOn w:val="DefaultParagraphFont"/>
    <w:uiPriority w:val="99"/>
    <w:semiHidden/>
    <w:unhideWhenUsed/>
    <w:rsid w:val="003C1475"/>
    <w:rPr>
      <w:sz w:val="16"/>
      <w:szCs w:val="16"/>
    </w:rPr>
  </w:style>
  <w:style w:type="paragraph" w:styleId="CommentText">
    <w:name w:val="annotation text"/>
    <w:basedOn w:val="Normal"/>
    <w:link w:val="CommentTextChar"/>
    <w:uiPriority w:val="99"/>
    <w:semiHidden/>
    <w:unhideWhenUsed/>
    <w:rsid w:val="003C1475"/>
    <w:pPr>
      <w:spacing w:line="240" w:lineRule="auto"/>
    </w:pPr>
    <w:rPr>
      <w:sz w:val="20"/>
      <w:szCs w:val="20"/>
    </w:rPr>
  </w:style>
  <w:style w:type="character" w:customStyle="1" w:styleId="CommentTextChar">
    <w:name w:val="Comment Text Char"/>
    <w:basedOn w:val="DefaultParagraphFont"/>
    <w:link w:val="CommentText"/>
    <w:uiPriority w:val="99"/>
    <w:semiHidden/>
    <w:rsid w:val="003C1475"/>
    <w:rPr>
      <w:sz w:val="20"/>
      <w:szCs w:val="20"/>
    </w:rPr>
  </w:style>
  <w:style w:type="paragraph" w:styleId="CommentSubject">
    <w:name w:val="annotation subject"/>
    <w:basedOn w:val="CommentText"/>
    <w:next w:val="CommentText"/>
    <w:link w:val="CommentSubjectChar"/>
    <w:uiPriority w:val="99"/>
    <w:semiHidden/>
    <w:unhideWhenUsed/>
    <w:rsid w:val="003C1475"/>
    <w:rPr>
      <w:b/>
      <w:bCs/>
    </w:rPr>
  </w:style>
  <w:style w:type="character" w:customStyle="1" w:styleId="CommentSubjectChar">
    <w:name w:val="Comment Subject Char"/>
    <w:basedOn w:val="CommentTextChar"/>
    <w:link w:val="CommentSubject"/>
    <w:uiPriority w:val="99"/>
    <w:semiHidden/>
    <w:rsid w:val="003C1475"/>
    <w:rPr>
      <w:b/>
      <w:bCs/>
      <w:sz w:val="20"/>
      <w:szCs w:val="20"/>
    </w:rPr>
  </w:style>
  <w:style w:type="character" w:styleId="UnresolvedMention">
    <w:name w:val="Unresolved Mention"/>
    <w:basedOn w:val="DefaultParagraphFont"/>
    <w:uiPriority w:val="99"/>
    <w:semiHidden/>
    <w:unhideWhenUsed/>
    <w:rsid w:val="00E0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6285">
      <w:bodyDiv w:val="1"/>
      <w:marLeft w:val="0"/>
      <w:marRight w:val="0"/>
      <w:marTop w:val="0"/>
      <w:marBottom w:val="0"/>
      <w:divBdr>
        <w:top w:val="none" w:sz="0" w:space="0" w:color="auto"/>
        <w:left w:val="none" w:sz="0" w:space="0" w:color="auto"/>
        <w:bottom w:val="none" w:sz="0" w:space="0" w:color="auto"/>
        <w:right w:val="none" w:sz="0" w:space="0" w:color="auto"/>
      </w:divBdr>
      <w:divsChild>
        <w:div w:id="343360340">
          <w:marLeft w:val="0"/>
          <w:marRight w:val="0"/>
          <w:marTop w:val="0"/>
          <w:marBottom w:val="0"/>
          <w:divBdr>
            <w:top w:val="none" w:sz="0" w:space="0" w:color="auto"/>
            <w:left w:val="none" w:sz="0" w:space="0" w:color="auto"/>
            <w:bottom w:val="none" w:sz="0" w:space="0" w:color="auto"/>
            <w:right w:val="none" w:sz="0" w:space="0" w:color="auto"/>
          </w:divBdr>
          <w:divsChild>
            <w:div w:id="915360392">
              <w:marLeft w:val="0"/>
              <w:marRight w:val="0"/>
              <w:marTop w:val="0"/>
              <w:marBottom w:val="0"/>
              <w:divBdr>
                <w:top w:val="none" w:sz="0" w:space="0" w:color="auto"/>
                <w:left w:val="none" w:sz="0" w:space="0" w:color="auto"/>
                <w:bottom w:val="none" w:sz="0" w:space="0" w:color="auto"/>
                <w:right w:val="none" w:sz="0" w:space="0" w:color="auto"/>
              </w:divBdr>
            </w:div>
            <w:div w:id="1834029717">
              <w:marLeft w:val="0"/>
              <w:marRight w:val="0"/>
              <w:marTop w:val="0"/>
              <w:marBottom w:val="0"/>
              <w:divBdr>
                <w:top w:val="none" w:sz="0" w:space="0" w:color="auto"/>
                <w:left w:val="none" w:sz="0" w:space="0" w:color="auto"/>
                <w:bottom w:val="none" w:sz="0" w:space="0" w:color="auto"/>
                <w:right w:val="none" w:sz="0" w:space="0" w:color="auto"/>
              </w:divBdr>
            </w:div>
            <w:div w:id="923218981">
              <w:marLeft w:val="0"/>
              <w:marRight w:val="0"/>
              <w:marTop w:val="0"/>
              <w:marBottom w:val="0"/>
              <w:divBdr>
                <w:top w:val="none" w:sz="0" w:space="0" w:color="auto"/>
                <w:left w:val="none" w:sz="0" w:space="0" w:color="auto"/>
                <w:bottom w:val="none" w:sz="0" w:space="0" w:color="auto"/>
                <w:right w:val="none" w:sz="0" w:space="0" w:color="auto"/>
              </w:divBdr>
            </w:div>
          </w:divsChild>
        </w:div>
        <w:div w:id="348988718">
          <w:marLeft w:val="0"/>
          <w:marRight w:val="0"/>
          <w:marTop w:val="0"/>
          <w:marBottom w:val="0"/>
          <w:divBdr>
            <w:top w:val="none" w:sz="0" w:space="0" w:color="auto"/>
            <w:left w:val="none" w:sz="0" w:space="0" w:color="auto"/>
            <w:bottom w:val="none" w:sz="0" w:space="0" w:color="auto"/>
            <w:right w:val="none" w:sz="0" w:space="0" w:color="auto"/>
          </w:divBdr>
          <w:divsChild>
            <w:div w:id="853348585">
              <w:marLeft w:val="0"/>
              <w:marRight w:val="0"/>
              <w:marTop w:val="0"/>
              <w:marBottom w:val="0"/>
              <w:divBdr>
                <w:top w:val="none" w:sz="0" w:space="0" w:color="auto"/>
                <w:left w:val="none" w:sz="0" w:space="0" w:color="auto"/>
                <w:bottom w:val="none" w:sz="0" w:space="0" w:color="auto"/>
                <w:right w:val="none" w:sz="0" w:space="0" w:color="auto"/>
              </w:divBdr>
            </w:div>
            <w:div w:id="1185900559">
              <w:marLeft w:val="0"/>
              <w:marRight w:val="0"/>
              <w:marTop w:val="0"/>
              <w:marBottom w:val="0"/>
              <w:divBdr>
                <w:top w:val="none" w:sz="0" w:space="0" w:color="auto"/>
                <w:left w:val="none" w:sz="0" w:space="0" w:color="auto"/>
                <w:bottom w:val="none" w:sz="0" w:space="0" w:color="auto"/>
                <w:right w:val="none" w:sz="0" w:space="0" w:color="auto"/>
              </w:divBdr>
            </w:div>
            <w:div w:id="532890348">
              <w:marLeft w:val="0"/>
              <w:marRight w:val="0"/>
              <w:marTop w:val="0"/>
              <w:marBottom w:val="0"/>
              <w:divBdr>
                <w:top w:val="none" w:sz="0" w:space="0" w:color="auto"/>
                <w:left w:val="none" w:sz="0" w:space="0" w:color="auto"/>
                <w:bottom w:val="none" w:sz="0" w:space="0" w:color="auto"/>
                <w:right w:val="none" w:sz="0" w:space="0" w:color="auto"/>
              </w:divBdr>
            </w:div>
            <w:div w:id="2121752139">
              <w:marLeft w:val="0"/>
              <w:marRight w:val="0"/>
              <w:marTop w:val="0"/>
              <w:marBottom w:val="0"/>
              <w:divBdr>
                <w:top w:val="none" w:sz="0" w:space="0" w:color="auto"/>
                <w:left w:val="none" w:sz="0" w:space="0" w:color="auto"/>
                <w:bottom w:val="none" w:sz="0" w:space="0" w:color="auto"/>
                <w:right w:val="none" w:sz="0" w:space="0" w:color="auto"/>
              </w:divBdr>
            </w:div>
          </w:divsChild>
        </w:div>
        <w:div w:id="1475222848">
          <w:marLeft w:val="0"/>
          <w:marRight w:val="0"/>
          <w:marTop w:val="0"/>
          <w:marBottom w:val="0"/>
          <w:divBdr>
            <w:top w:val="none" w:sz="0" w:space="0" w:color="auto"/>
            <w:left w:val="none" w:sz="0" w:space="0" w:color="auto"/>
            <w:bottom w:val="none" w:sz="0" w:space="0" w:color="auto"/>
            <w:right w:val="none" w:sz="0" w:space="0" w:color="auto"/>
          </w:divBdr>
          <w:divsChild>
            <w:div w:id="1868718321">
              <w:marLeft w:val="0"/>
              <w:marRight w:val="0"/>
              <w:marTop w:val="0"/>
              <w:marBottom w:val="0"/>
              <w:divBdr>
                <w:top w:val="none" w:sz="0" w:space="0" w:color="auto"/>
                <w:left w:val="none" w:sz="0" w:space="0" w:color="auto"/>
                <w:bottom w:val="none" w:sz="0" w:space="0" w:color="auto"/>
                <w:right w:val="none" w:sz="0" w:space="0" w:color="auto"/>
              </w:divBdr>
            </w:div>
            <w:div w:id="575095141">
              <w:marLeft w:val="0"/>
              <w:marRight w:val="0"/>
              <w:marTop w:val="0"/>
              <w:marBottom w:val="0"/>
              <w:divBdr>
                <w:top w:val="none" w:sz="0" w:space="0" w:color="auto"/>
                <w:left w:val="none" w:sz="0" w:space="0" w:color="auto"/>
                <w:bottom w:val="none" w:sz="0" w:space="0" w:color="auto"/>
                <w:right w:val="none" w:sz="0" w:space="0" w:color="auto"/>
              </w:divBdr>
            </w:div>
            <w:div w:id="1842819588">
              <w:marLeft w:val="0"/>
              <w:marRight w:val="0"/>
              <w:marTop w:val="0"/>
              <w:marBottom w:val="0"/>
              <w:divBdr>
                <w:top w:val="none" w:sz="0" w:space="0" w:color="auto"/>
                <w:left w:val="none" w:sz="0" w:space="0" w:color="auto"/>
                <w:bottom w:val="none" w:sz="0" w:space="0" w:color="auto"/>
                <w:right w:val="none" w:sz="0" w:space="0" w:color="auto"/>
              </w:divBdr>
            </w:div>
          </w:divsChild>
        </w:div>
        <w:div w:id="499584004">
          <w:marLeft w:val="0"/>
          <w:marRight w:val="0"/>
          <w:marTop w:val="0"/>
          <w:marBottom w:val="0"/>
          <w:divBdr>
            <w:top w:val="none" w:sz="0" w:space="0" w:color="auto"/>
            <w:left w:val="none" w:sz="0" w:space="0" w:color="auto"/>
            <w:bottom w:val="none" w:sz="0" w:space="0" w:color="auto"/>
            <w:right w:val="none" w:sz="0" w:space="0" w:color="auto"/>
          </w:divBdr>
        </w:div>
        <w:div w:id="251400387">
          <w:marLeft w:val="0"/>
          <w:marRight w:val="0"/>
          <w:marTop w:val="0"/>
          <w:marBottom w:val="0"/>
          <w:divBdr>
            <w:top w:val="none" w:sz="0" w:space="0" w:color="auto"/>
            <w:left w:val="none" w:sz="0" w:space="0" w:color="auto"/>
            <w:bottom w:val="none" w:sz="0" w:space="0" w:color="auto"/>
            <w:right w:val="none" w:sz="0" w:space="0" w:color="auto"/>
          </w:divBdr>
        </w:div>
        <w:div w:id="446386217">
          <w:marLeft w:val="0"/>
          <w:marRight w:val="0"/>
          <w:marTop w:val="0"/>
          <w:marBottom w:val="0"/>
          <w:divBdr>
            <w:top w:val="none" w:sz="0" w:space="0" w:color="auto"/>
            <w:left w:val="none" w:sz="0" w:space="0" w:color="auto"/>
            <w:bottom w:val="none" w:sz="0" w:space="0" w:color="auto"/>
            <w:right w:val="none" w:sz="0" w:space="0" w:color="auto"/>
          </w:divBdr>
        </w:div>
        <w:div w:id="1120995821">
          <w:marLeft w:val="0"/>
          <w:marRight w:val="0"/>
          <w:marTop w:val="0"/>
          <w:marBottom w:val="0"/>
          <w:divBdr>
            <w:top w:val="none" w:sz="0" w:space="0" w:color="auto"/>
            <w:left w:val="none" w:sz="0" w:space="0" w:color="auto"/>
            <w:bottom w:val="none" w:sz="0" w:space="0" w:color="auto"/>
            <w:right w:val="none" w:sz="0" w:space="0" w:color="auto"/>
          </w:divBdr>
        </w:div>
        <w:div w:id="1429691825">
          <w:marLeft w:val="0"/>
          <w:marRight w:val="0"/>
          <w:marTop w:val="0"/>
          <w:marBottom w:val="0"/>
          <w:divBdr>
            <w:top w:val="none" w:sz="0" w:space="0" w:color="auto"/>
            <w:left w:val="none" w:sz="0" w:space="0" w:color="auto"/>
            <w:bottom w:val="none" w:sz="0" w:space="0" w:color="auto"/>
            <w:right w:val="none" w:sz="0" w:space="0" w:color="auto"/>
          </w:divBdr>
        </w:div>
        <w:div w:id="1616017350">
          <w:marLeft w:val="0"/>
          <w:marRight w:val="0"/>
          <w:marTop w:val="0"/>
          <w:marBottom w:val="0"/>
          <w:divBdr>
            <w:top w:val="none" w:sz="0" w:space="0" w:color="auto"/>
            <w:left w:val="none" w:sz="0" w:space="0" w:color="auto"/>
            <w:bottom w:val="none" w:sz="0" w:space="0" w:color="auto"/>
            <w:right w:val="none" w:sz="0" w:space="0" w:color="auto"/>
          </w:divBdr>
        </w:div>
        <w:div w:id="469057629">
          <w:marLeft w:val="0"/>
          <w:marRight w:val="0"/>
          <w:marTop w:val="0"/>
          <w:marBottom w:val="0"/>
          <w:divBdr>
            <w:top w:val="none" w:sz="0" w:space="0" w:color="auto"/>
            <w:left w:val="none" w:sz="0" w:space="0" w:color="auto"/>
            <w:bottom w:val="none" w:sz="0" w:space="0" w:color="auto"/>
            <w:right w:val="none" w:sz="0" w:space="0" w:color="auto"/>
          </w:divBdr>
        </w:div>
        <w:div w:id="1310668647">
          <w:marLeft w:val="0"/>
          <w:marRight w:val="0"/>
          <w:marTop w:val="0"/>
          <w:marBottom w:val="0"/>
          <w:divBdr>
            <w:top w:val="none" w:sz="0" w:space="0" w:color="auto"/>
            <w:left w:val="none" w:sz="0" w:space="0" w:color="auto"/>
            <w:bottom w:val="none" w:sz="0" w:space="0" w:color="auto"/>
            <w:right w:val="none" w:sz="0" w:space="0" w:color="auto"/>
          </w:divBdr>
        </w:div>
        <w:div w:id="1876892016">
          <w:marLeft w:val="0"/>
          <w:marRight w:val="0"/>
          <w:marTop w:val="0"/>
          <w:marBottom w:val="0"/>
          <w:divBdr>
            <w:top w:val="none" w:sz="0" w:space="0" w:color="auto"/>
            <w:left w:val="none" w:sz="0" w:space="0" w:color="auto"/>
            <w:bottom w:val="none" w:sz="0" w:space="0" w:color="auto"/>
            <w:right w:val="none" w:sz="0" w:space="0" w:color="auto"/>
          </w:divBdr>
        </w:div>
        <w:div w:id="1619988789">
          <w:marLeft w:val="0"/>
          <w:marRight w:val="0"/>
          <w:marTop w:val="0"/>
          <w:marBottom w:val="0"/>
          <w:divBdr>
            <w:top w:val="none" w:sz="0" w:space="0" w:color="auto"/>
            <w:left w:val="none" w:sz="0" w:space="0" w:color="auto"/>
            <w:bottom w:val="none" w:sz="0" w:space="0" w:color="auto"/>
            <w:right w:val="none" w:sz="0" w:space="0" w:color="auto"/>
          </w:divBdr>
        </w:div>
        <w:div w:id="938831554">
          <w:marLeft w:val="0"/>
          <w:marRight w:val="0"/>
          <w:marTop w:val="0"/>
          <w:marBottom w:val="0"/>
          <w:divBdr>
            <w:top w:val="none" w:sz="0" w:space="0" w:color="auto"/>
            <w:left w:val="none" w:sz="0" w:space="0" w:color="auto"/>
            <w:bottom w:val="none" w:sz="0" w:space="0" w:color="auto"/>
            <w:right w:val="none" w:sz="0" w:space="0" w:color="auto"/>
          </w:divBdr>
        </w:div>
      </w:divsChild>
    </w:div>
    <w:div w:id="9954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resources/statutes-regulations/usa-patriot-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7C80-EFDD-4729-9A37-28DA104E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2EB98-C8A2-4DDE-BEB3-1AF97D08978F}">
  <ds:schemaRefs>
    <ds:schemaRef ds:uri="http://schemas.microsoft.com/sharepoint/v3/contenttype/forms"/>
  </ds:schemaRefs>
</ds:datastoreItem>
</file>

<file path=customXml/itemProps3.xml><?xml version="1.0" encoding="utf-8"?>
<ds:datastoreItem xmlns:ds="http://schemas.openxmlformats.org/officeDocument/2006/customXml" ds:itemID="{88FE6429-ABFB-42B9-A5A6-51FD097A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7</cp:revision>
  <cp:lastPrinted>2021-08-11T21:16:00Z</cp:lastPrinted>
  <dcterms:created xsi:type="dcterms:W3CDTF">2021-09-08T16:03:00Z</dcterms:created>
  <dcterms:modified xsi:type="dcterms:W3CDTF">2021-09-09T16:15:00Z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